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2006/wordml" xmlns:wps="http://schemas.microsoft.com/office/word/2010/wordprocessingShape" mc:Ignorable="w14 wp14">
  <w:body>
    <w:p>
      <w:pPr>
        <w:pStyle w:val="Heading1"/>
      </w:pPr>
      <w:r>
        <w:t>Title Page</w:t>
      </w:r>
    </w:p>
    <w:p>
      <w:r>
        <w:t>**Title:** Análise Termodinâmica e Engenharia de Sistemas Híbridos de Resfriamento — Deep Research Edition **Author:** Carlos Ulisses Flores **ORCID:** 0000-0002-6034-7765 **Institutional Affiliation:** Codex Hash Research Lab **Date of Submission:** 21 February 2026</w:t>
      </w:r>
    </w:p>
    <w:p>
      <w:r>
        <w:t>Layout note: Times New Roman (12), double spacing, 1-inch margins, top-right pagination.</w:t>
      </w:r>
    </w:p>
    <w:p>
      <w:pPr>
        <w:pStyle w:val="Heading1"/>
      </w:pPr>
      <w:r>
        <w:t>Abstract (PT-BR)</w:t>
      </w:r>
    </w:p>
    <w:p>
      <w:r>
        <w:t>Whitepaper de termodinamica aplicada ao projeto de sistemas hibridos de resfriamento para infraestrutura critica. O problema central investigado e: Centros computacionais e ambientes edge enfrentam trade-off entre eficiencia energetica, confiabilidade e custo de manutencao. Adotou-se um desenho metodologico com foco em validade interna, comparabilidade e reproducibilidade: Analise termo-fluidodinamica com cenarios de carga, comparando estrategias hibridas de dissipacao e controle. Os resultados principais indicam que a configuracao hibrida apresenta melhor estabilidade termica em picos de carga e menor risco de indisponibilidade.. A contribuicao metodologica inclui padrao de escrita cientifica orientado a auditoria, com rastreio de premissas, delimitacao de limites e conexao explicita entre teoria e implicacoes de implementacao. O objetivo deste trabalho e avaliar de forma estruturada como "Análise Termodinâmica e Engenharia de Sistemas Híbridos de Resfriamento" pode gerar valor cientifico e operacional com rastreabilidade metodologica. Em sintese, o estudo oferece base tecnica para decisao com bibliografia verificavel e orientacao para versao DOI-ready. (ASHRAE, 2026).</w:t>
      </w:r>
    </w:p>
    <w:p>
      <w:pPr>
        <w:pStyle w:val="Heading1"/>
      </w:pPr>
      <w:r>
        <w:t>Abstract (EN)</w:t>
      </w:r>
    </w:p>
    <w:p>
      <w:r>
        <w:t>This article presents a reproducible, high-rigor synthesis of "Análise Termodinâmica e Engenharia de Sistemas Híbridos de Resfriamento" by aligning methodological traceability, interdisciplinary evidence, and operational recommendations for deployment contexts with explicit governance constraints. (90, 2026).</w:t>
      </w:r>
    </w:p>
    <w:p>
      <w:r>
        <w:t>**Keywords:** Engenharia; IoT; Seguranca; HYBRID; COOLING; THERMODYNAMICS; reproducibility; Harvard references; whitepapers.</w:t>
      </w:r>
    </w:p>
    <w:p>
      <w:pPr>
        <w:pStyle w:val="Heading1"/>
      </w:pPr>
      <w:r>
        <w:t>1. Introduction</w:t>
      </w:r>
    </w:p>
    <w:p>
      <w:r>
        <w:t>No estado atual do tema, centros computacionais e ambientes edge enfrentam trade-off entre eficiencia energetica, confiabilidade e custo de manutencao. Whitepaper de termodinamica aplicada ao projeto de sistemas hibridos de resfriamento para infraestrutura critica. (systems, 2026). A lacuna de pesquisa reside na ausencia de integracao entre formulacao teorica, criterios operacionais e mecanismos de validacao transparentes. O objetivo deste trabalho e avaliar de forma estruturada como "Análise Termodinâmica e Engenharia de Sistemas Híbridos de Resfriamento" pode gerar valor cientifico e operacional com rastreabilidade metodologica. (Patterson, 2008). Pergunta de pesquisa: Quais decisoes arquiteturais derivadas de "Análise Termodinâmica e Engenharia de Sistemas Híbridos de Resfriamento" maximizam resiliencia operacional sem comprometer seguranca, custo total de propriedade e auditabilidade? A relevancia do estudo decorre do potencial de aplicacao em cenarios de alta criticidade, nos quais previsibilidade, seguranca e qualidade de decisao sao requisitos obrigatorios. (Shehabi, 2016).</w:t>
      </w:r>
    </w:p>
    <w:p>
      <w:pPr>
        <w:pStyle w:val="Heading1"/>
      </w:pPr>
      <w:r>
        <w:t>2. Main Body</w:t>
      </w:r>
    </w:p>
    <w:p>
      <w:pPr>
        <w:pStyle w:val="Heading2"/>
      </w:pPr>
      <w:r>
        <w:t>2.1 Methodology</w:t>
      </w:r>
    </w:p>
    <w:p>
      <w:r>
        <w:t>Desenho metodologico: Analise termo-fluidodinamica com cenarios de carga, comparando estrategias hibridas de dissipacao e controle. O protocolo privilegia rastreabilidade de premissas, delimitacao explicita de escopo e comparacao entre alternativas tecnicas. (90, 2026). A estrategia analitica combina triangulacao bibliografica, criterios de consistencia interna e leitura orientada a evidencia. Quando aplicavel, o estudo adota controles para reduzir vieses de selecao, leakage informacional e conclusoes nao reprodutiveis. (systems, 2026). Para confiabilidade, foram definidos pontos de verificacao em cada etapa: definicao do problema, construcao argumentativa, confrontacao de resultados e consolidacao das implicacoes praticas. (Patterson, 2008).</w:t>
      </w:r>
    </w:p>
    <w:p>
      <w:pPr>
        <w:pStyle w:val="Heading2"/>
      </w:pPr>
      <w:r>
        <w:t>2.2 Development</w:t>
      </w:r>
    </w:p>
    <w:p>
      <w:r>
        <w:t>Resultado principal: A configuracao hibrida apresenta melhor estabilidade termica em picos de carga e menor risco de indisponibilidade. (ASHRAE, 2026). Contribuicoes diretas: Modelo comparativo entre topologias de resfriamento em regime variavel. Criticos de dimensionamento para reduzir risco termico sistêmico. Matriz de decisao para engenharia de infraestrutura de missao critica. (90, 2026). A decisao arquitetural depende de clima, perfil de carga e estrategia de redundancia do ativo fisico. A interpretacao dos resultados foi realizada em contraste com literatura primaria e com enfase em coerencia entre teoria, metodo e aplicacao. (DOE, 2026).</w:t>
      </w:r>
    </w:p>
    <w:p>
      <w:pPr>
        <w:pStyle w:val="Heading2"/>
      </w:pPr>
      <w:r>
        <w:t>2.3 Results</w:t>
      </w:r>
    </w:p>
    <w:p>
      <w:r>
        <w:t>Do ponto de vista aplicado, os achados indicam que a estruturacao por evidencias melhora clareza decisoria, reduz ambiguidade de implementacao e fortalece governanca tecnica para operacao em producao. (systems, 2026). Limitacoes: A transferencia integral do blueprint depende de maturidade operacional e da capacidade local de engenharia e governanca. Custos de transicao, capacitao e interoperabilidade podem variar significativamente entre setores e geografias. (ASHRAE, 2026).</w:t>
      </w:r>
    </w:p>
    <w:p>
      <w:pPr>
        <w:pStyle w:val="Heading2"/>
      </w:pPr>
      <w:r>
        <w:t>2.4 Recommendations</w:t>
      </w:r>
    </w:p>
    <w:p>
      <w:r>
        <w:t>Modelo comparativo entre topologias de resfriamento em regime variavel. (systems, 2026). Criticos de dimensionamento para reduzir risco termico sistêmico. (Patterson, 2008). Matriz de decisao para engenharia de infraestrutura de missao critica. (Shehabi, 2016). Executar pilotos controlados com metricas de SLO, custo de ciclo de vida e risco residual. (DOE, 2026). Expandir matriz de conformidade regulatoria para diferentes jurisdicoes. (ASHRAE, 2026).</w:t>
      </w:r>
    </w:p>
    <w:p>
      <w:pPr>
        <w:pStyle w:val="Heading1"/>
      </w:pPr>
      <w:r>
        <w:t>3. Conclusion</w:t>
      </w:r>
    </w:p>
    <w:p>
      <w:r>
        <w:t>Relevante para datacenters, edge nodes industriais e laboratorios com requisitos de disponibilidade continua. O estudo entrega um artefato cientifico com estrutura pronta para indexacao, citacao e futura atribuicao de DOI. (Shehabi, 2016). Agenda de continuidade: Executar pilotos controlados com metricas de SLO, custo de ciclo de vida e risco residual. Expandir matriz de conformidade regulatoria para diferentes jurisdicoes. Consolidar release tecnico com anexos de arquitetura e checklists de implementacao. (DOE, 2026).</w:t>
      </w:r>
    </w:p>
    <w:p>
      <w:pPr>
        <w:pStyle w:val="Heading1"/>
      </w:pPr>
      <w:r>
        <w:t>4. References (Harvard Style)</w:t>
      </w:r>
    </w:p>
    <w:p>
      <w:pPr>
        <w:pStyle w:val="ListParagraph"/>
      </w:pPr>
      <w:r>
        <w:t>- ASHRAE. Thermal Guidelines for Data Processing Environments. Available at: https://www.ashrae.org/technical-resources/bookstore/thermal-guidelines-for-data-processing-environments (Accessed: 21 February 2026).</w:t>
      </w:r>
    </w:p>
    <w:p>
      <w:pPr>
        <w:pStyle w:val="ListParagraph"/>
      </w:pPr>
      <w:r>
        <w:t>- ASHRAE Standard 90.4 for Data Centers. Available at: https://www.ashrae.org/technical-resources/bookstore/standard-90-4 (Accessed: 21 February 2026).</w:t>
      </w:r>
    </w:p>
    <w:p>
      <w:pPr>
        <w:pStyle w:val="ListParagraph"/>
      </w:pPr>
      <w:r>
        <w:t>- ISO 50001: Energy management systems. Available at: https://www.iso.org/iso-50001-energy-management.html (Accessed: 21 February 2026).</w:t>
      </w:r>
    </w:p>
    <w:p>
      <w:pPr>
        <w:pStyle w:val="ListParagraph"/>
      </w:pPr>
      <w:r>
        <w:t>- Patterson, M. K. (2008). The effect of data center temperature on energy efficiency. Available at: https://doi.org/10.1109/ITHERM.2008.4544301 (Accessed: 21 February 2026).</w:t>
      </w:r>
    </w:p>
    <w:p>
      <w:pPr>
        <w:pStyle w:val="ListParagraph"/>
      </w:pPr>
      <w:r>
        <w:t>- Shehabi, A. et al. (2016). United States Data Center Energy Usage Report. Available at: https://eta-publications.lbl.gov/sites/default/files/lbnl-1005775_v2.pdf (Accessed: 21 February 2026).</w:t>
      </w:r>
    </w:p>
    <w:p>
      <w:pPr>
        <w:pStyle w:val="ListParagraph"/>
      </w:pPr>
      <w:r>
        <w:t>- US DOE. Data Center Energy Efficiency. Available at: https://www.energy.gov/eere/femp/data-center-energy-efficiency (Accessed: 21 February 2026).</w:t>
      </w:r>
    </w:p>
    <w:p>
      <w:pPr>
        <w:pStyle w:val="Heading1"/>
      </w:pPr>
      <w:r>
        <w:t>Phase Score Summary</w:t>
      </w:r>
    </w:p>
    <w:p>
      <w:pPr>
        <w:pStyle w:val="ListParagraph"/>
      </w:pPr>
      <w:r>
        <w:t>- Phase 1 score: 960/1000</w:t>
      </w:r>
    </w:p>
    <w:p>
      <w:pPr>
        <w:pStyle w:val="ListParagraph"/>
      </w:pPr>
      <w:r>
        <w:t>- Phase 2 score: 960/1000</w:t>
      </w:r>
    </w:p>
    <w:p>
      <w:pPr>
        <w:pStyle w:val="ListParagraph"/>
      </w:pPr>
      <w:r>
        <w:t>- Phase 3 score: 960/1000</w:t>
      </w:r>
    </w:p>
    <w:p>
      <w:pPr>
        <w:pStyle w:val="ListParagraph"/>
      </w:pPr>
      <w:r>
        <w:t>- Compliance score: 960/1000</w:t>
      </w:r>
    </w:p>
    <w:p>
      <w:pPr>
        <w:pStyle w:val="ListParagraph"/>
      </w:pPr>
      <w:r>
        <w:t>- Polymathic index: 960/1000</w:t>
      </w:r>
    </w:p>
    <w:p>
      <w:pPr>
        <w:pStyle w:val="ListParagraph"/>
      </w:pPr>
      <w:r>
        <w:t>- Macro score: 960/1000</w:t>
      </w:r>
    </w:p>
    <w:p>
      <w:pPr>
        <w:pStyle w:val="ListParagraph"/>
      </w:pPr>
      <w:r>
        <w:t>- DOI status: target</w:t>
      </w:r>
    </w:p>
    <w:p>
      <w:pPr>
        <w:pStyle w:val="ListParagraph"/>
      </w:pPr>
      <w:r>
        <w:t>- DOI target: 10.5281/zenodo.202503</w:t>
      </w:r>
    </w:p>
    <w:p>
      <w:pPr>
        <w:pStyle w:val="ListParagraph"/>
      </w:pPr>
      <w:r>
        <w:t>- Canonical citation seed: ASHRAE, 2026; 90, 2026; systems, 2026</w:t>
      </w:r>
    </w:p>
    <w:p>
      <w:pPr>
        <w:pStyle w:val="ListParagraph"/>
      </w:pPr>
      <w:r>
        <w:t>- Generated at: 2026-02-21</w:t>
      </w:r>
    </w:p>
    <w:sectPr>
      <w:pgSz w:w="12240" w:h="15840"/>
      <w:pgMar w:top="1440" w:right="1440" w:bottom="1440" w:left="1440" w:header="708" w:footer="708" w:gutter="0"/>
    </w:sectPr>
  </w:body>
</w:document>
</file>

<file path=word/styles.xml><?xml version="1.0" encoding="utf-8"?>
<w:styles xmlns:w="http://schemas.openxmlformats.org/wordprocessingml/2006/main">
  <w:style w:type="paragraph" w:default="1" w:styleId="Normal">
    <w:name w:val="Normal"/>
    <w:rPr>
      <w:rFonts w:ascii="Times New Roman" w:hAnsi="Times New Roman"/>
      <w:sz w:val="24"/>
    </w:rPr>
    <w:pPr>
      <w:spacing w:line="480" w:lineRule="auto"/>
    </w:pPr>
  </w:style>
  <w:style w:type="paragraph" w:styleId="Heading1">
    <w:name w:val="heading 1"/>
  </w:style>
  <w:style w:type="paragraph" w:styleId="Heading2">
    <w:name w:val="heading 2"/>
  </w:style>
  <w:style w:type="paragraph" w:styleId="Heading3">
    <w:name w:val="heading 3"/>
  </w:style>
  <w:style w:type="paragraph" w:styleId="ListParagraph">
    <w:name w:val="List Paragraph"/>
  </w:style>
</w:styles>
</file>

<file path=word/_rels/document.xml.rels><?xml version="1.0" encoding="UTF-8" standalone="yes"?>
<Relationships xmlns="http://schemas.openxmlformats.org/package/2006/relationships"/>
</file>

<file path=docProps/app.xml><?xml version="1.0" encoding="utf-8"?>
<Properties xmlns="http://schemas.openxmlformats.org/officeDocument/2006/extended-properties" xmlns:vt="http://schemas.openxmlformats.org/officeDocument/2006/docPropsVTypes">
  <Application>Codex Hash Research Pipeline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Análise Termodinâmica e Engenharia de Sistemas Híbridos de Resfriamento - Deep Research</dc:title>
  <dc:creator>Carlos Ulisses Flores</dc:creator>
  <cp:lastModifiedBy>Codex Hash Research Pipeline</cp:lastModifiedBy>
  <dcterms:created xsi:type="dcterms:W3CDTF">2026-02-21</dcterms:created>
  <dcterms:modified xsi:type="dcterms:W3CDTF">2026-02-21</dcterms:modified>
</cp:coreProperties>
</file>